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B" w:rsidRPr="00FF44FF" w:rsidRDefault="00D87AAB" w:rsidP="00D87AAB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D87AAB" w:rsidRPr="00FF44FF" w:rsidRDefault="00D87AAB" w:rsidP="00D87AAB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87AAB" w:rsidRDefault="00D87AAB" w:rsidP="00D87AAB">
      <w:r w:rsidRPr="002E10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D87AAB" w:rsidRDefault="00D87AAB" w:rsidP="00D87AAB"/>
    <w:p w:rsidR="00D87AAB" w:rsidRPr="00D87AAB" w:rsidRDefault="00D87AAB" w:rsidP="00D87AAB">
      <w:pPr>
        <w:spacing w:after="0" w:line="468" w:lineRule="atLeast"/>
        <w:jc w:val="center"/>
        <w:outlineLvl w:val="0"/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</w:pPr>
      <w:r w:rsidRPr="00D87AAB">
        <w:rPr>
          <w:rFonts w:ascii="Georgia" w:eastAsia="Times New Roman" w:hAnsi="Georgia" w:cs="Times New Roman"/>
          <w:i/>
          <w:iCs/>
          <w:kern w:val="36"/>
          <w:sz w:val="39"/>
          <w:szCs w:val="39"/>
          <w:lang w:eastAsia="ru-RU"/>
        </w:rPr>
        <w:t>Международный фестиваль «Славянский Венец» - Болгария, курорт Святые Константин и Елена</w:t>
      </w:r>
    </w:p>
    <w:p w:rsidR="00D87AAB" w:rsidRPr="00D87AAB" w:rsidRDefault="00D87AAB" w:rsidP="00D87AAB">
      <w:pPr>
        <w:spacing w:after="180" w:line="420" w:lineRule="atLeast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87AAB">
        <w:rPr>
          <w:rFonts w:ascii="Arial" w:eastAsia="Times New Roman" w:hAnsi="Arial" w:cs="Arial"/>
          <w:b/>
          <w:sz w:val="30"/>
          <w:szCs w:val="30"/>
          <w:lang w:eastAsia="ru-RU"/>
        </w:rPr>
        <w:t>ХХII и </w:t>
      </w:r>
      <w:proofErr w:type="gramStart"/>
      <w:r w:rsidRPr="00D87AAB">
        <w:rPr>
          <w:rFonts w:ascii="Arial" w:eastAsia="Times New Roman" w:hAnsi="Arial" w:cs="Arial"/>
          <w:b/>
          <w:sz w:val="30"/>
          <w:szCs w:val="30"/>
          <w:lang w:eastAsia="ru-RU"/>
        </w:rPr>
        <w:t>ХХ</w:t>
      </w:r>
      <w:proofErr w:type="gramEnd"/>
      <w:r w:rsidRPr="00D87AAB">
        <w:rPr>
          <w:rFonts w:ascii="Arial" w:eastAsia="Times New Roman" w:hAnsi="Arial" w:cs="Arial"/>
          <w:b/>
          <w:sz w:val="30"/>
          <w:szCs w:val="30"/>
          <w:lang w:eastAsia="ru-RU"/>
        </w:rPr>
        <w:t>III Международные фестивали</w:t>
      </w:r>
    </w:p>
    <w:p w:rsidR="00D87AAB" w:rsidRDefault="00D87AAB" w:rsidP="00D87AAB">
      <w:pPr>
        <w:spacing w:after="180" w:line="420" w:lineRule="atLeast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(15+1)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Место проведения</w:t>
      </w:r>
    </w:p>
    <w:p w:rsidR="00D87AAB" w:rsidRPr="00D87AAB" w:rsidRDefault="002E1045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history="1">
        <w:r w:rsidR="00D87AAB" w:rsidRPr="00D87AAB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Международный детский комплекс "Альбатрос</w:t>
        </w:r>
        <w:r w:rsidR="00D87AAB" w:rsidRPr="00D87AAB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"</w:t>
        </w:r>
      </w:hyperlink>
      <w:r w:rsidR="00D87AAB" w:rsidRPr="00D87AAB">
        <w:rPr>
          <w:rFonts w:ascii="Arial" w:eastAsia="Times New Roman" w:hAnsi="Arial" w:cs="Arial"/>
          <w:sz w:val="21"/>
          <w:szCs w:val="21"/>
          <w:lang w:eastAsia="ru-RU"/>
        </w:rPr>
        <w:t> - любимое место отдыха детей и молодежи, гостеприимно принимает участников</w:t>
      </w:r>
      <w:r w:rsidR="00D87AAB"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Международного фестиваля "Славянский Венец"</w:t>
      </w:r>
      <w:r w:rsidR="00D87AAB" w:rsidRPr="00D87AA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Для участия приглашаются детские и молодежные творческие коллективы и солисты, а также дети с ограниченными возможностями с целью стимулирования развития художественного творчества,  как средство их реабилитации и социальной адаптации. Гостеприимная болгарская земля приглашает всех на праздник искусств.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>Во время фестиваля на открытой сцене детского комплекса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"Альбатрос"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дети разных стран покажут свое творчество, встретятся со старыми друзьями и познакомятся с новыми, получат массу впечатлений и эмоций для новых творческих побед!</w:t>
      </w:r>
      <w:proofErr w:type="gramEnd"/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Фестиваль проводится под патронатом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Общины г. Варна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Цель и задачи фестиваля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Представление культуры своих народов, установление творческих контактов, обмен опытом в художественном воспитании детей и молодежи.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Регламент фестиваля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Конкурсные номинации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I. Вокал (эстрадный, народный, академический)</w:t>
      </w:r>
    </w:p>
    <w:p w:rsidR="00D87AAB" w:rsidRPr="00D87AAB" w:rsidRDefault="00D87AAB" w:rsidP="00D87A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Соло</w:t>
      </w:r>
    </w:p>
    <w:p w:rsidR="00D87AAB" w:rsidRPr="00D87AAB" w:rsidRDefault="00D87AAB" w:rsidP="00D87A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Ансамбль (разделяются на дуэт, трио, квартет и др.)</w:t>
      </w:r>
    </w:p>
    <w:p w:rsidR="00D87AAB" w:rsidRPr="00D87AAB" w:rsidRDefault="00D87AAB" w:rsidP="00D87AA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Хоры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Критерии оценки</w:t>
      </w:r>
    </w:p>
    <w:p w:rsidR="00D87AAB" w:rsidRPr="00D87AAB" w:rsidRDefault="00D87AAB" w:rsidP="00D87AAB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музыкальность, художественная трактовка музыкального произведения;</w:t>
      </w:r>
    </w:p>
    <w:p w:rsidR="00D87AAB" w:rsidRPr="00D87AAB" w:rsidRDefault="00D87AAB" w:rsidP="00D87AAB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чистота интонации и качество звучания;</w:t>
      </w:r>
    </w:p>
    <w:p w:rsidR="00D87AAB" w:rsidRPr="00D87AAB" w:rsidRDefault="00D87AAB" w:rsidP="00D87AAB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красота тембра и сила голоса;</w:t>
      </w:r>
    </w:p>
    <w:p w:rsidR="00D87AAB" w:rsidRPr="00D87AAB" w:rsidRDefault="00D87AAB" w:rsidP="00D87AAB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сценическая культура;</w:t>
      </w:r>
    </w:p>
    <w:p w:rsidR="00D87AAB" w:rsidRPr="00D87AAB" w:rsidRDefault="00D87AAB" w:rsidP="00D87AAB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сложность репертуара;</w:t>
      </w:r>
    </w:p>
    <w:p w:rsidR="00D87AAB" w:rsidRPr="00D87AAB" w:rsidRDefault="00D87AAB" w:rsidP="00D87AAB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соответствие репертуара исполнительским возможностям и возрастной категории исполнителя;</w:t>
      </w:r>
    </w:p>
    <w:p w:rsidR="00D87AAB" w:rsidRPr="00D87AAB" w:rsidRDefault="00D87AAB" w:rsidP="00D87AAB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исполнительское мастерство.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II. Хореография (</w:t>
      </w:r>
      <w:proofErr w:type="spellStart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эстрадный</w:t>
      </w:r>
      <w:proofErr w:type="gramStart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,н</w:t>
      </w:r>
      <w:proofErr w:type="gramEnd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ародный</w:t>
      </w:r>
      <w:proofErr w:type="spellEnd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 xml:space="preserve">, классический танец , бальные танцы, </w:t>
      </w:r>
      <w:proofErr w:type="spellStart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street</w:t>
      </w:r>
      <w:proofErr w:type="spellEnd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 xml:space="preserve"> </w:t>
      </w:r>
      <w:proofErr w:type="spellStart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dance</w:t>
      </w:r>
      <w:proofErr w:type="spellEnd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  и др.)</w:t>
      </w:r>
    </w:p>
    <w:p w:rsidR="00D87AAB" w:rsidRPr="00D87AAB" w:rsidRDefault="00D87AAB" w:rsidP="00D87A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Соло</w:t>
      </w:r>
    </w:p>
    <w:p w:rsidR="00D87AAB" w:rsidRPr="00D87AAB" w:rsidRDefault="00D87AAB" w:rsidP="00D87AA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Ансамбль (дуэт, трио, квартет и др.)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  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Критерии оценки</w:t>
      </w:r>
    </w:p>
    <w:p w:rsidR="00D87AAB" w:rsidRPr="00D87AAB" w:rsidRDefault="00D87AAB" w:rsidP="00D87AAB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исполнительское мастерство – техника исполнения движений;</w:t>
      </w:r>
    </w:p>
    <w:p w:rsidR="00D87AAB" w:rsidRPr="00D87AAB" w:rsidRDefault="00D87AAB" w:rsidP="00D87AAB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композиционное построение номера;</w:t>
      </w:r>
    </w:p>
    <w:p w:rsidR="00D87AAB" w:rsidRPr="00D87AAB" w:rsidRDefault="00D87AAB" w:rsidP="00D87AAB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соответствие репертуара возрастным особенностям исполнителей;</w:t>
      </w:r>
    </w:p>
    <w:p w:rsidR="00D87AAB" w:rsidRPr="00D87AAB" w:rsidRDefault="00D87AAB" w:rsidP="00D87AAB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сценичность, пластика, костюм, реквизит, культура исполнения;</w:t>
      </w:r>
    </w:p>
    <w:p w:rsidR="00D87AAB" w:rsidRPr="00D87AAB" w:rsidRDefault="00D87AAB" w:rsidP="00D87AAB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подбор и соответствие музыкального и хореографического материала;</w:t>
      </w:r>
    </w:p>
    <w:p w:rsidR="00D87AAB" w:rsidRPr="00D87AAB" w:rsidRDefault="00D87AAB" w:rsidP="00D87AAB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артистизм, раскрытие художественного образа.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III. Инструментальный жанр (</w:t>
      </w:r>
      <w:proofErr w:type="gramStart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народные</w:t>
      </w:r>
      <w:proofErr w:type="gramEnd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, классические, эстрадные и др.)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Все виды инструментов. Фортепиано в наличии имеется, все  другие инструменты участники привозят с собой.</w:t>
      </w:r>
    </w:p>
    <w:p w:rsidR="00D87AAB" w:rsidRPr="00D87AAB" w:rsidRDefault="00D87AAB" w:rsidP="00D87A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Соло</w:t>
      </w:r>
    </w:p>
    <w:p w:rsidR="00D87AAB" w:rsidRPr="00D87AAB" w:rsidRDefault="00D87AAB" w:rsidP="00D87AA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Ансамбль (дуэт, трио, квартет и др.)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  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Критерии оценки</w:t>
      </w:r>
    </w:p>
    <w:p w:rsidR="00D87AAB" w:rsidRPr="00D87AAB" w:rsidRDefault="00D87AAB" w:rsidP="00D87AAB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степень владения инструментом;</w:t>
      </w:r>
    </w:p>
    <w:p w:rsidR="00D87AAB" w:rsidRPr="00D87AAB" w:rsidRDefault="00D87AAB" w:rsidP="00D87AAB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чистота интонации и музыкальный строй;</w:t>
      </w:r>
    </w:p>
    <w:p w:rsidR="00D87AAB" w:rsidRPr="00D87AAB" w:rsidRDefault="00D87AAB" w:rsidP="00D87AAB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сложность репертуара;</w:t>
      </w:r>
    </w:p>
    <w:p w:rsidR="00D87AAB" w:rsidRPr="00D87AAB" w:rsidRDefault="00D87AAB" w:rsidP="00D87AAB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технические возможности ансамблевого исполнения;</w:t>
      </w:r>
    </w:p>
    <w:p w:rsidR="00D87AAB" w:rsidRPr="00D87AAB" w:rsidRDefault="00D87AAB" w:rsidP="00D87AAB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музыкальность, артистичность, художественная трактовка музыкального произведения;</w:t>
      </w:r>
    </w:p>
    <w:p w:rsidR="00D87AAB" w:rsidRPr="00D87AAB" w:rsidRDefault="00D87AAB" w:rsidP="00D87AAB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творческая индивидуальность (для солистов).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 xml:space="preserve">IV. Оригинальный жанр (пластический этюд, </w:t>
      </w:r>
      <w:proofErr w:type="spellStart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эквилибр</w:t>
      </w:r>
      <w:proofErr w:type="spellEnd"/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, жонглирование,  клоунада, показательные выступления спортивных секций и др.)</w:t>
      </w:r>
    </w:p>
    <w:p w:rsidR="00D87AAB" w:rsidRPr="00D87AAB" w:rsidRDefault="00D87AAB" w:rsidP="00D87A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Соло</w:t>
      </w:r>
    </w:p>
    <w:p w:rsidR="00D87AAB" w:rsidRPr="00D87AAB" w:rsidRDefault="00D87AAB" w:rsidP="00D87AA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Ансамбль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 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Критерии оценки</w:t>
      </w:r>
    </w:p>
    <w:p w:rsidR="00D87AAB" w:rsidRPr="00D87AAB" w:rsidRDefault="00D87AAB" w:rsidP="00D87AAB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 xml:space="preserve">уровень цирковой подготовки и </w:t>
      </w:r>
      <w:proofErr w:type="gram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>исполнительское</w:t>
      </w:r>
      <w:proofErr w:type="gramEnd"/>
      <w:r w:rsidRPr="00D87AA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>мастрество</w:t>
      </w:r>
      <w:proofErr w:type="spellEnd"/>
      <w:r w:rsidRPr="00D87AA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D87AAB" w:rsidRPr="00D87AAB" w:rsidRDefault="00D87AAB" w:rsidP="00D87AAB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технические возможности исполнителей;</w:t>
      </w:r>
    </w:p>
    <w:p w:rsidR="00D87AAB" w:rsidRPr="00D87AAB" w:rsidRDefault="00D87AAB" w:rsidP="00D87AAB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артистизм, сценичность (пластика, культура исполнения, костюм);</w:t>
      </w:r>
    </w:p>
    <w:p w:rsidR="00D87AAB" w:rsidRPr="00D87AAB" w:rsidRDefault="00D87AAB" w:rsidP="00D87AAB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 xml:space="preserve">творческий подход к подбору </w:t>
      </w:r>
      <w:proofErr w:type="spell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>репетруара</w:t>
      </w:r>
      <w:proofErr w:type="spellEnd"/>
      <w:r w:rsidRPr="00D87AAB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D87AAB" w:rsidRPr="00D87AAB" w:rsidRDefault="00D87AAB" w:rsidP="00D87AAB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сложность исполняемой программы;</w:t>
      </w:r>
    </w:p>
    <w:p w:rsidR="00D87AAB" w:rsidRPr="00D87AAB" w:rsidRDefault="00D87AAB" w:rsidP="00D87AAB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художественное оформление программы, реквизит.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V. Театральный жанр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- коллективы представляют на конкурс малые сценические формы, моноспектакли, этюды, сцены из спектаклей, имеющие композиционно законченный характер;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- на возрастные группы не разделяются.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Критерии оценки</w:t>
      </w:r>
    </w:p>
    <w:p w:rsidR="00D87AAB" w:rsidRPr="00D87AAB" w:rsidRDefault="00D87AAB" w:rsidP="00D87AAB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полнота и выразительность раскрытия темы произведения;</w:t>
      </w:r>
    </w:p>
    <w:p w:rsidR="00D87AAB" w:rsidRPr="00D87AAB" w:rsidRDefault="00D87AAB" w:rsidP="00D87AAB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раскрытие и яркость художественных образов, исполнительский уровень;</w:t>
      </w:r>
    </w:p>
    <w:p w:rsidR="00D87AAB" w:rsidRPr="00D87AAB" w:rsidRDefault="00D87AAB" w:rsidP="00D87AAB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сценичность, пластика, костюм, культура исполнения;</w:t>
      </w:r>
    </w:p>
    <w:p w:rsidR="00D87AAB" w:rsidRPr="00D87AAB" w:rsidRDefault="00D87AAB" w:rsidP="00D87AAB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художественное исполнение спектакля, реквизит;</w:t>
      </w:r>
    </w:p>
    <w:p w:rsidR="00D87AAB" w:rsidRPr="00D87AAB" w:rsidRDefault="00D87AAB" w:rsidP="00D87AAB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соответствие репертуара возрастным особенностям исполнителей.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  <w:t>VI. Декоративно-прикладное искусство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 xml:space="preserve">(художественная вышивка, кружево, художественное вязание, ткачество, лоскутное шитье, роспись на ткани, по дереву, стеклу, резьба, инкрустация, </w:t>
      </w:r>
      <w:proofErr w:type="spell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>бисероплетение</w:t>
      </w:r>
      <w:proofErr w:type="spellEnd"/>
      <w:r w:rsidRPr="00D87AAB">
        <w:rPr>
          <w:rFonts w:ascii="Arial" w:eastAsia="Times New Roman" w:hAnsi="Arial" w:cs="Arial"/>
          <w:sz w:val="21"/>
          <w:szCs w:val="21"/>
          <w:lang w:eastAsia="ru-RU"/>
        </w:rPr>
        <w:t xml:space="preserve">, художественная обработка кожи, изделия из бересты, чеканка, ковка, народная игрушка из глины, гончарство, флористика, оригами, </w:t>
      </w:r>
      <w:proofErr w:type="spell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>квиллинг</w:t>
      </w:r>
      <w:proofErr w:type="spellEnd"/>
      <w:r w:rsidRPr="00D87AA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>скраббукинг</w:t>
      </w:r>
      <w:proofErr w:type="spellEnd"/>
      <w:r w:rsidRPr="00D87AAB">
        <w:rPr>
          <w:rFonts w:ascii="Arial" w:eastAsia="Times New Roman" w:hAnsi="Arial" w:cs="Arial"/>
          <w:sz w:val="21"/>
          <w:szCs w:val="21"/>
          <w:lang w:eastAsia="ru-RU"/>
        </w:rPr>
        <w:t>, изделия из войлока и др.).</w:t>
      </w:r>
      <w:proofErr w:type="gramEnd"/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В ходе работы мини-выставок проходят мастер - классы.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Критерии оценки</w:t>
      </w:r>
    </w:p>
    <w:p w:rsidR="00D87AAB" w:rsidRPr="00D87AAB" w:rsidRDefault="00D87AAB" w:rsidP="00D87AAB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творческая индивидуальность и мастерство автора, владение выбранной техникой;</w:t>
      </w:r>
    </w:p>
    <w:p w:rsidR="00D87AAB" w:rsidRPr="00D87AAB" w:rsidRDefault="00D87AAB" w:rsidP="00D87AAB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отражение заявленной темы;</w:t>
      </w:r>
    </w:p>
    <w:p w:rsidR="00D87AAB" w:rsidRPr="00D87AAB" w:rsidRDefault="00D87AAB" w:rsidP="00D87AAB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сохранение и использование народных традиций в представленных работах;</w:t>
      </w:r>
    </w:p>
    <w:p w:rsidR="00D87AAB" w:rsidRPr="00D87AAB" w:rsidRDefault="00D87AAB" w:rsidP="00D87AAB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новаторство и оригинальность;</w:t>
      </w:r>
    </w:p>
    <w:p w:rsidR="00D87AAB" w:rsidRPr="00D87AAB" w:rsidRDefault="00D87AAB" w:rsidP="00D87AAB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высокий уровень мастерства, художественный вкус, техника исполнения;</w:t>
      </w:r>
    </w:p>
    <w:p w:rsidR="00D87AAB" w:rsidRPr="00D87AAB" w:rsidRDefault="00D87AAB" w:rsidP="00D87AAB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>эстетический вид</w:t>
      </w:r>
      <w:proofErr w:type="gramEnd"/>
      <w:r w:rsidRPr="00D87AAB">
        <w:rPr>
          <w:rFonts w:ascii="Arial" w:eastAsia="Times New Roman" w:hAnsi="Arial" w:cs="Arial"/>
          <w:sz w:val="21"/>
          <w:szCs w:val="21"/>
          <w:lang w:eastAsia="ru-RU"/>
        </w:rPr>
        <w:t xml:space="preserve"> изделия.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Возрастные категории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  I - 7-9 лет, II - 10-12 лет, III - 13-15 лет, IV - 16-18 лет, V - 21-24 лет.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Конкурсные требования</w:t>
      </w:r>
    </w:p>
    <w:p w:rsidR="00D87AAB" w:rsidRPr="00D87AAB" w:rsidRDefault="00D87AAB" w:rsidP="00D87AAB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Вокалисты (солисты, дуэты, ансамбли) и хоровые коллективы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предоставляют одно произведение общей продолжительностью не более 3 минут;</w:t>
      </w:r>
    </w:p>
    <w:p w:rsidR="00D87AAB" w:rsidRPr="00D87AAB" w:rsidRDefault="00D87AAB" w:rsidP="00D87AAB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Хореографические коллективы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представляют один танец в одной номинации, причем массовый не должен превышать 3 минуты, а сольный – 2 минуты;</w:t>
      </w:r>
    </w:p>
    <w:p w:rsidR="00D87AAB" w:rsidRPr="00D87AAB" w:rsidRDefault="00D87AAB" w:rsidP="00D87AAB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Солисты инструменталисты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представляют одно произведение общей продолжительностью до 3 минут, а инструментальные ансамбли не более 4 минут;</w:t>
      </w:r>
    </w:p>
    <w:p w:rsidR="00D87AAB" w:rsidRPr="00D87AAB" w:rsidRDefault="00D87AAB" w:rsidP="00D87AAB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Коллективы оригинального жанра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исполняют одну композицию продолжительностью не более  5 минут;</w:t>
      </w:r>
    </w:p>
    <w:p w:rsidR="00D87AAB" w:rsidRPr="00D87AAB" w:rsidRDefault="00D87AAB" w:rsidP="00D87AAB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Коллективы театрального жанра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исполняют одно произведение не более 10 минут.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Технические требования</w:t>
      </w:r>
    </w:p>
    <w:p w:rsidR="00D87AAB" w:rsidRPr="00D87AAB" w:rsidRDefault="00D87AAB" w:rsidP="00D87A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Носителями фонограмм являются CD с высоким качеством звука;</w:t>
      </w:r>
    </w:p>
    <w:p w:rsidR="00D87AAB" w:rsidRPr="00D87AAB" w:rsidRDefault="00D87AAB" w:rsidP="00D87A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Каждая звукозапись должна быть на отдельном носителе с указанием названия произведения, автора музыки, текста, названия ансамбля или фамилии исполнителя, а также продолжительности звучания данного произведения;</w:t>
      </w:r>
    </w:p>
    <w:p w:rsidR="00D87AAB" w:rsidRPr="00D87AAB" w:rsidRDefault="00D87AAB" w:rsidP="00D87A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Фонограмма должна быть установлена на начало записи;</w:t>
      </w:r>
    </w:p>
    <w:p w:rsidR="00D87AAB" w:rsidRPr="00D87AAB" w:rsidRDefault="00D87AAB" w:rsidP="00D87AA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Не допускается выступление вокалистов под фонограмму.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Награждения участников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Итоги конкурса и награждения проводятся по номинациям, с учетом возрастных категорий детей и предусматривают присуждения звания обладателя Гран-при, трех призовых мест, а также дипломантов с вручением дипломов и специальных призов.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При возникновении ситуации, когда нет достойных претендентов на Гран-при и призовые места – эти места не присуждаются.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Допускается дублирование призовых мест (два первых места, вторых и т.д.) по результатам конкурса.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Программу Гала-концерта определяет режиссерско-постановочная группа на основании решений жюри.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Решение жюри является окончательным и изменению не подлежит.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Общие требования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Подготовку и проведение фестиваля осуществляет оргкомитет.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Оргкомитет утверждает состав жюри по каждой номинации, который формируется из ведущих специалистов культуры и искусства стран, принимающих участие в фестивале.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Оргкомитет имеет право использовать и распространять (без выплаты гонорара участникам фестиваля) аудио и видеозаписи, печатной и иного рода продукции, произведенные во время проведения фестиваля.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Участники фестиваля имеют право на рекламу своего спонсора. Для этого участники в электронном виде высылают логотип спонсора (если имеется), название фирмы</w:t>
      </w:r>
      <w:proofErr w:type="gramStart"/>
      <w:r w:rsidRPr="00D87AAB">
        <w:rPr>
          <w:rFonts w:ascii="Arial" w:eastAsia="Times New Roman" w:hAnsi="Arial" w:cs="Arial"/>
          <w:sz w:val="21"/>
          <w:szCs w:val="21"/>
          <w:lang w:eastAsia="ru-RU"/>
        </w:rPr>
        <w:t xml:space="preserve"> ,</w:t>
      </w:r>
      <w:proofErr w:type="gramEnd"/>
      <w:r w:rsidRPr="00D87AAB">
        <w:rPr>
          <w:rFonts w:ascii="Arial" w:eastAsia="Times New Roman" w:hAnsi="Arial" w:cs="Arial"/>
          <w:sz w:val="21"/>
          <w:szCs w:val="21"/>
          <w:lang w:eastAsia="ru-RU"/>
        </w:rPr>
        <w:t>Ф.И.О. директора.</w:t>
      </w:r>
    </w:p>
    <w:p w:rsidR="00D87AAB" w:rsidRPr="00D87AAB" w:rsidRDefault="00D87AAB" w:rsidP="00D87AAB">
      <w:pPr>
        <w:spacing w:after="0" w:line="378" w:lineRule="atLeast"/>
        <w:jc w:val="both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Программа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Прибытие в МДК ”Альбатрос”, регистрация и размещение участников и гостей фестиваля. 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br/>
        <w:t>Знакомство с МДК ”Альбатрос”. Организационное собрание. Знакомство с площадкой, техническими службами, консультации. Репетиции. Отдых на море или экскурсии по программе. Дискотека или мероприятие по плану МДК ”Альбатрос”. Вечер знакомств ”Давайте знакомиться, давайте дружить!..” - развлекательное шоу в кругу друзей.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Подготовка к открытию фестиваля.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Торжественное открытие фестиваля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. Дискотека.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Подготовка и репетиции. Проведение конкурсной программы по номинациям.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Вокал. Все возрастные категории. </w:t>
      </w:r>
    </w:p>
    <w:p w:rsidR="002E1045" w:rsidRDefault="002E1045" w:rsidP="00D87AA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ru-RU"/>
        </w:rPr>
      </w:pP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Подготовка и репетиции. Проведение конкурсной программы по номинациям.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Хореография. Все возрастные категории 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Подготовка и репетиции. Проведение конкурсной программы по номинациям.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Инструментальный, оригинальный, театральный жанры. Декоративно - прикладное искусство. Все возрастные категории. 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Подведение итогов конкурса.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Репетиция Гала-Концерта.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Закрытие фестиваля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. Награждение победителей.</w:t>
      </w:r>
    </w:p>
    <w:p w:rsidR="00D87AAB" w:rsidRPr="00D87AAB" w:rsidRDefault="00D87AAB" w:rsidP="00D87AA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Отдых на море или экскурсионная программа. Отъезд.</w:t>
      </w:r>
    </w:p>
    <w:p w:rsidR="00D87AAB" w:rsidRPr="00D87AAB" w:rsidRDefault="00D87AAB" w:rsidP="00D87AAB">
      <w:pPr>
        <w:spacing w:after="75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Все экскурсии проводятся за дополнительную плату.</w:t>
      </w:r>
    </w:p>
    <w:p w:rsidR="00D87AAB" w:rsidRPr="00D87AAB" w:rsidRDefault="00D87AAB" w:rsidP="00D87AA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>Стоимость путевки  (без авиабилета)</w:t>
      </w:r>
    </w:p>
    <w:p w:rsidR="00D87AAB" w:rsidRPr="00D87AAB" w:rsidRDefault="00D87AAB" w:rsidP="00D87AAB">
      <w:pPr>
        <w:spacing w:after="75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1 у.е. = 1 евро (оплата в рублях по курсу ЦБ + 3% на день оплаты)</w:t>
      </w:r>
    </w:p>
    <w:p w:rsidR="00D87AAB" w:rsidRPr="00D87AAB" w:rsidRDefault="00D87AAB" w:rsidP="00D87AAB">
      <w:pPr>
        <w:spacing w:after="0" w:line="378" w:lineRule="atLeast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D87AAB">
        <w:rPr>
          <w:rFonts w:ascii="Arial" w:eastAsia="Times New Roman" w:hAnsi="Arial" w:cs="Arial"/>
          <w:sz w:val="27"/>
          <w:szCs w:val="27"/>
          <w:lang w:eastAsia="ru-RU"/>
        </w:rPr>
        <w:t xml:space="preserve">Стоимость авиабилета Москва – Варна/Бургас – Москва </w:t>
      </w:r>
      <w:proofErr w:type="gramStart"/>
      <w:r w:rsidR="002E1045">
        <w:rPr>
          <w:rFonts w:ascii="Arial" w:eastAsia="Times New Roman" w:hAnsi="Arial" w:cs="Arial"/>
          <w:sz w:val="27"/>
          <w:szCs w:val="27"/>
          <w:lang w:eastAsia="ru-RU"/>
        </w:rPr>
        <w:t>–о</w:t>
      </w:r>
      <w:proofErr w:type="gramEnd"/>
      <w:r w:rsidR="002E1045">
        <w:rPr>
          <w:rFonts w:ascii="Arial" w:eastAsia="Times New Roman" w:hAnsi="Arial" w:cs="Arial"/>
          <w:sz w:val="27"/>
          <w:szCs w:val="27"/>
          <w:lang w:eastAsia="ru-RU"/>
        </w:rPr>
        <w:t xml:space="preserve">т </w:t>
      </w:r>
      <w:bookmarkStart w:id="0" w:name="_GoBack"/>
      <w:bookmarkEnd w:id="0"/>
      <w:r w:rsidRPr="00D87AAB">
        <w:rPr>
          <w:rFonts w:ascii="Arial" w:eastAsia="Times New Roman" w:hAnsi="Arial" w:cs="Arial"/>
          <w:sz w:val="27"/>
          <w:szCs w:val="27"/>
          <w:lang w:eastAsia="ru-RU"/>
        </w:rPr>
        <w:t xml:space="preserve"> 295 у.е.  </w:t>
      </w:r>
    </w:p>
    <w:p w:rsidR="00D87AAB" w:rsidRPr="00D87AAB" w:rsidRDefault="00D87AAB" w:rsidP="00D87AA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входит:</w:t>
      </w:r>
    </w:p>
    <w:p w:rsidR="00D87AAB" w:rsidRPr="00D87AAB" w:rsidRDefault="00D87AAB" w:rsidP="00D87AAB">
      <w:pPr>
        <w:numPr>
          <w:ilvl w:val="0"/>
          <w:numId w:val="1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участие в фестивальных мероприятиях;</w:t>
      </w:r>
    </w:p>
    <w:p w:rsidR="00D87AAB" w:rsidRPr="00D87AAB" w:rsidRDefault="00D87AAB" w:rsidP="00D87AAB">
      <w:pPr>
        <w:numPr>
          <w:ilvl w:val="0"/>
          <w:numId w:val="1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развлекательные и спортивные программы, дискотеки;</w:t>
      </w:r>
    </w:p>
    <w:p w:rsidR="00D87AAB" w:rsidRPr="00D87AAB" w:rsidRDefault="00D87AAB" w:rsidP="00D87AAB">
      <w:pPr>
        <w:numPr>
          <w:ilvl w:val="0"/>
          <w:numId w:val="1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трансфер аэропорт Варна – отель – аэропорт Варна (для групп со своей транспортировкой - доплата за трансфер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а/</w:t>
      </w:r>
      <w:proofErr w:type="gramStart"/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</w:t>
      </w:r>
      <w:proofErr w:type="gramEnd"/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Бургас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- 15 евро/чел.);</w:t>
      </w:r>
    </w:p>
    <w:p w:rsidR="00D87AAB" w:rsidRPr="00D87AAB" w:rsidRDefault="00D87AAB" w:rsidP="00D87AAB">
      <w:pPr>
        <w:numPr>
          <w:ilvl w:val="0"/>
          <w:numId w:val="1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проживание 3-4-местное;</w:t>
      </w:r>
    </w:p>
    <w:p w:rsidR="00D87AAB" w:rsidRPr="00D87AAB" w:rsidRDefault="00D87AAB" w:rsidP="00D87AAB">
      <w:pPr>
        <w:numPr>
          <w:ilvl w:val="0"/>
          <w:numId w:val="1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питание - четырехразовое "шведский стол";</w:t>
      </w:r>
    </w:p>
    <w:p w:rsidR="00D87AAB" w:rsidRPr="00D87AAB" w:rsidRDefault="00D87AAB" w:rsidP="00D87AAB">
      <w:pPr>
        <w:numPr>
          <w:ilvl w:val="0"/>
          <w:numId w:val="1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бесплатное место на 15 участников (15+1);</w:t>
      </w:r>
    </w:p>
    <w:p w:rsidR="00D87AAB" w:rsidRPr="00D87AAB" w:rsidRDefault="00D87AAB" w:rsidP="00D87AAB">
      <w:pPr>
        <w:numPr>
          <w:ilvl w:val="0"/>
          <w:numId w:val="13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стоимость путевки не входит и приобретается по поручению заказчика:</w:t>
      </w:r>
    </w:p>
    <w:p w:rsidR="00D87AAB" w:rsidRPr="00D87AAB" w:rsidRDefault="00D87AAB" w:rsidP="00D87AAB">
      <w:pPr>
        <w:numPr>
          <w:ilvl w:val="0"/>
          <w:numId w:val="14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фестивальный взнос -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одно выступление - </w:t>
      </w:r>
      <w:r w:rsidRPr="00D87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у.е. - солисты или группа до 5 чел, </w:t>
      </w:r>
    </w:p>
    <w:p w:rsidR="00D87AAB" w:rsidRPr="00D87AAB" w:rsidRDefault="00D87AAB" w:rsidP="00D87AA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15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у.е. - группа более 5 чел.  </w:t>
      </w:r>
    </w:p>
    <w:p w:rsidR="00D87AAB" w:rsidRPr="00D87AAB" w:rsidRDefault="00D87AAB" w:rsidP="00D87AA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Каждое последующее выступление -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10 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у.е.</w:t>
      </w:r>
    </w:p>
    <w:p w:rsidR="00D87AAB" w:rsidRPr="00D87AAB" w:rsidRDefault="00D87AAB" w:rsidP="00D87AAB">
      <w:pPr>
        <w:numPr>
          <w:ilvl w:val="0"/>
          <w:numId w:val="15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групповой страховой полис (€ 40 000) - </w:t>
      </w:r>
      <w:r w:rsidRPr="00D87AA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1/2 недели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- </w:t>
      </w:r>
      <w:r w:rsidRPr="00D87AA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12/25</w:t>
      </w:r>
      <w:r w:rsidRPr="00D87AAB">
        <w:rPr>
          <w:rFonts w:ascii="Arial" w:eastAsia="Times New Roman" w:hAnsi="Arial" w:cs="Arial"/>
          <w:sz w:val="21"/>
          <w:szCs w:val="21"/>
          <w:lang w:eastAsia="ru-RU"/>
        </w:rPr>
        <w:t> у.е./чел.</w:t>
      </w:r>
    </w:p>
    <w:p w:rsidR="00D87AAB" w:rsidRPr="00D87AAB" w:rsidRDefault="00D87AAB" w:rsidP="00D87AAB">
      <w:pPr>
        <w:numPr>
          <w:ilvl w:val="0"/>
          <w:numId w:val="15"/>
        </w:numPr>
        <w:spacing w:after="0" w:line="240" w:lineRule="auto"/>
        <w:ind w:left="600"/>
        <w:rPr>
          <w:rFonts w:ascii="Arial" w:eastAsia="Times New Roman" w:hAnsi="Arial" w:cs="Arial"/>
          <w:sz w:val="21"/>
          <w:szCs w:val="21"/>
          <w:lang w:eastAsia="ru-RU"/>
        </w:rPr>
      </w:pPr>
      <w:r w:rsidRPr="00D87AAB">
        <w:rPr>
          <w:rFonts w:ascii="Arial" w:eastAsia="Times New Roman" w:hAnsi="Arial" w:cs="Arial"/>
          <w:sz w:val="21"/>
          <w:szCs w:val="21"/>
          <w:lang w:eastAsia="ru-RU"/>
        </w:rPr>
        <w:t>оформление визы (вылеты по понедельникам):</w:t>
      </w:r>
    </w:p>
    <w:p w:rsidR="00D87AAB" w:rsidRDefault="00D87AAB" w:rsidP="00D87AAB">
      <w:pPr>
        <w:ind w:firstLine="708"/>
        <w:jc w:val="center"/>
        <w:rPr>
          <w:b/>
        </w:rPr>
      </w:pPr>
    </w:p>
    <w:p w:rsidR="00D87AAB" w:rsidRPr="00E108CB" w:rsidRDefault="00D87AAB" w:rsidP="00D87AAB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7B73D6" w:rsidRPr="00D87AAB" w:rsidRDefault="007B73D6" w:rsidP="00D87AAB">
      <w:pPr>
        <w:tabs>
          <w:tab w:val="left" w:pos="3495"/>
        </w:tabs>
      </w:pPr>
    </w:p>
    <w:sectPr w:rsidR="007B73D6" w:rsidRPr="00D87AAB" w:rsidSect="00D87A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3C"/>
    <w:multiLevelType w:val="multilevel"/>
    <w:tmpl w:val="B8C0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C83CAA"/>
    <w:multiLevelType w:val="multilevel"/>
    <w:tmpl w:val="EE3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41D83"/>
    <w:multiLevelType w:val="multilevel"/>
    <w:tmpl w:val="C9A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680355"/>
    <w:multiLevelType w:val="multilevel"/>
    <w:tmpl w:val="0ABA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A2387E"/>
    <w:multiLevelType w:val="multilevel"/>
    <w:tmpl w:val="DB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16A28"/>
    <w:multiLevelType w:val="multilevel"/>
    <w:tmpl w:val="8E1C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7852AE"/>
    <w:multiLevelType w:val="multilevel"/>
    <w:tmpl w:val="4AF89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165A4"/>
    <w:multiLevelType w:val="multilevel"/>
    <w:tmpl w:val="0E9C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520456"/>
    <w:multiLevelType w:val="multilevel"/>
    <w:tmpl w:val="1CA0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C0BFB"/>
    <w:multiLevelType w:val="multilevel"/>
    <w:tmpl w:val="8E5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0D766E"/>
    <w:multiLevelType w:val="multilevel"/>
    <w:tmpl w:val="62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326F4B"/>
    <w:multiLevelType w:val="multilevel"/>
    <w:tmpl w:val="D880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523DCA"/>
    <w:multiLevelType w:val="multilevel"/>
    <w:tmpl w:val="4EF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5B78B4"/>
    <w:multiLevelType w:val="multilevel"/>
    <w:tmpl w:val="D164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D3A68"/>
    <w:multiLevelType w:val="multilevel"/>
    <w:tmpl w:val="D10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B"/>
    <w:rsid w:val="002E1045"/>
    <w:rsid w:val="007B73D6"/>
    <w:rsid w:val="00D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oglasie.com/detskiy_lager_rositsa_bolga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2</cp:revision>
  <dcterms:created xsi:type="dcterms:W3CDTF">2019-11-05T10:10:00Z</dcterms:created>
  <dcterms:modified xsi:type="dcterms:W3CDTF">2020-08-26T08:42:00Z</dcterms:modified>
</cp:coreProperties>
</file>